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54734" w14:textId="2DBAB6B0"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b/>
          <w:bCs/>
          <w:color w:val="000000"/>
          <w:kern w:val="0"/>
          <w14:ligatures w14:val="none"/>
        </w:rPr>
        <w:t>TO:</w:t>
      </w:r>
      <w:r w:rsidRPr="000D3FE3">
        <w:rPr>
          <w:rFonts w:ascii="Times New Roman" w:eastAsia="Times New Roman" w:hAnsi="Times New Roman" w:cs="Times New Roman"/>
          <w:color w:val="000000"/>
          <w:kern w:val="0"/>
          <w14:ligatures w14:val="none"/>
        </w:rPr>
        <w:t> Jefferson Parish Bar Association – CLE Committee</w:t>
      </w:r>
      <w:r w:rsidRPr="000D3FE3">
        <w:rPr>
          <w:rFonts w:ascii="Times New Roman" w:eastAsia="Times New Roman" w:hAnsi="Times New Roman" w:cs="Times New Roman"/>
          <w:color w:val="000000"/>
          <w:kern w:val="0"/>
          <w14:ligatures w14:val="none"/>
        </w:rPr>
        <w:br/>
      </w:r>
      <w:r w:rsidRPr="000D3FE3">
        <w:rPr>
          <w:rFonts w:ascii="Times New Roman" w:eastAsia="Times New Roman" w:hAnsi="Times New Roman" w:cs="Times New Roman"/>
          <w:b/>
          <w:bCs/>
          <w:color w:val="000000"/>
          <w:kern w:val="0"/>
          <w14:ligatures w14:val="none"/>
        </w:rPr>
        <w:t>FROM:</w:t>
      </w:r>
      <w:r w:rsidRPr="000D3FE3">
        <w:rPr>
          <w:rFonts w:ascii="Times New Roman" w:eastAsia="Times New Roman" w:hAnsi="Times New Roman" w:cs="Times New Roman"/>
          <w:color w:val="000000"/>
          <w:kern w:val="0"/>
          <w14:ligatures w14:val="none"/>
        </w:rPr>
        <w:t> </w:t>
      </w:r>
      <w:r>
        <w:rPr>
          <w:rFonts w:ascii="Times New Roman" w:eastAsia="Times New Roman" w:hAnsi="Times New Roman" w:cs="Times New Roman"/>
          <w:color w:val="000000"/>
          <w:kern w:val="0"/>
          <w14:ligatures w14:val="none"/>
        </w:rPr>
        <w:t xml:space="preserve"> El Abogado</w:t>
      </w:r>
      <w:r w:rsidRPr="000D3FE3">
        <w:rPr>
          <w:rFonts w:ascii="Times New Roman" w:eastAsia="Times New Roman" w:hAnsi="Times New Roman" w:cs="Times New Roman"/>
          <w:color w:val="000000"/>
          <w:kern w:val="0"/>
          <w14:ligatures w14:val="none"/>
        </w:rPr>
        <w:br/>
      </w:r>
      <w:r w:rsidRPr="000D3FE3">
        <w:rPr>
          <w:rFonts w:ascii="Times New Roman" w:eastAsia="Times New Roman" w:hAnsi="Times New Roman" w:cs="Times New Roman"/>
          <w:b/>
          <w:bCs/>
          <w:color w:val="000000"/>
          <w:kern w:val="0"/>
          <w14:ligatures w14:val="none"/>
        </w:rPr>
        <w:t>DATE:</w:t>
      </w:r>
      <w:r w:rsidRPr="000D3FE3">
        <w:rPr>
          <w:rFonts w:ascii="Times New Roman" w:eastAsia="Times New Roman" w:hAnsi="Times New Roman" w:cs="Times New Roman"/>
          <w:color w:val="000000"/>
          <w:kern w:val="0"/>
          <w14:ligatures w14:val="none"/>
        </w:rPr>
        <w:t> </w:t>
      </w:r>
      <w:r>
        <w:rPr>
          <w:rFonts w:ascii="Times New Roman" w:eastAsia="Times New Roman" w:hAnsi="Times New Roman" w:cs="Times New Roman"/>
          <w:color w:val="000000"/>
          <w:kern w:val="0"/>
          <w14:ligatures w14:val="none"/>
        </w:rPr>
        <w:t>March</w:t>
      </w:r>
      <w:r w:rsidRPr="000D3FE3">
        <w:rPr>
          <w:rFonts w:ascii="Times New Roman" w:eastAsia="Times New Roman" w:hAnsi="Times New Roman" w:cs="Times New Roman"/>
          <w:color w:val="000000"/>
          <w:kern w:val="0"/>
          <w14:ligatures w14:val="none"/>
        </w:rPr>
        <w:t xml:space="preserve"> 2026</w:t>
      </w:r>
      <w:r w:rsidRPr="000D3FE3">
        <w:rPr>
          <w:rFonts w:ascii="Times New Roman" w:eastAsia="Times New Roman" w:hAnsi="Times New Roman" w:cs="Times New Roman"/>
          <w:color w:val="000000"/>
          <w:kern w:val="0"/>
          <w14:ligatures w14:val="none"/>
        </w:rPr>
        <w:br/>
      </w:r>
      <w:r w:rsidRPr="000D3FE3">
        <w:rPr>
          <w:rFonts w:ascii="Times New Roman" w:eastAsia="Times New Roman" w:hAnsi="Times New Roman" w:cs="Times New Roman"/>
          <w:b/>
          <w:bCs/>
          <w:color w:val="000000"/>
          <w:kern w:val="0"/>
          <w14:ligatures w14:val="none"/>
        </w:rPr>
        <w:t>RE:</w:t>
      </w:r>
      <w:r w:rsidRPr="000D3FE3">
        <w:rPr>
          <w:rFonts w:ascii="Times New Roman" w:eastAsia="Times New Roman" w:hAnsi="Times New Roman" w:cs="Times New Roman"/>
          <w:color w:val="000000"/>
          <w:kern w:val="0"/>
          <w14:ligatures w14:val="none"/>
        </w:rPr>
        <w:t> Constitutionality of Louisiana Civil Code Article 2315.12 (Act 17, 2025 Regular Session)</w:t>
      </w:r>
    </w:p>
    <w:p w14:paraId="4DE961CB" w14:textId="77777777" w:rsidR="000D3FE3" w:rsidRPr="000D3FE3" w:rsidRDefault="007A33A4" w:rsidP="000D3FE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1E06859C">
          <v:rect id="_x0000_i1025" alt="" style="width:468pt;height:.05pt;mso-width-percent:0;mso-height-percent:0;mso-width-percent:0;mso-height-percent:0" o:hralign="center" o:hrstd="t" o:hr="t" fillcolor="#a0a0a0" stroked="f"/>
        </w:pict>
      </w:r>
    </w:p>
    <w:p w14:paraId="0D5982AA" w14:textId="77777777" w:rsidR="000D3FE3" w:rsidRPr="000D3FE3" w:rsidRDefault="000D3FE3" w:rsidP="000D3FE3">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0D3FE3">
        <w:rPr>
          <w:rFonts w:ascii="Times New Roman" w:eastAsia="Times New Roman" w:hAnsi="Times New Roman" w:cs="Times New Roman"/>
          <w:b/>
          <w:bCs/>
          <w:color w:val="000000"/>
          <w:kern w:val="0"/>
          <w:sz w:val="36"/>
          <w:szCs w:val="36"/>
          <w14:ligatures w14:val="none"/>
        </w:rPr>
        <w:t>I. Executive Overview (For Judges &amp; Practitioners)</w:t>
      </w:r>
    </w:p>
    <w:p w14:paraId="3DF66609"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Louisiana Civil Code Article 2315.12 represents a sharp departure from traditional Louisiana tort principles by denying </w:t>
      </w:r>
      <w:r w:rsidRPr="000D3FE3">
        <w:rPr>
          <w:rFonts w:ascii="Times New Roman" w:eastAsia="Times New Roman" w:hAnsi="Times New Roman" w:cs="Times New Roman"/>
          <w:i/>
          <w:iCs/>
          <w:color w:val="000000"/>
          <w:kern w:val="0"/>
          <w14:ligatures w14:val="none"/>
        </w:rPr>
        <w:t>general damages</w:t>
      </w:r>
      <w:r w:rsidRPr="000D3FE3">
        <w:rPr>
          <w:rFonts w:ascii="Times New Roman" w:eastAsia="Times New Roman" w:hAnsi="Times New Roman" w:cs="Times New Roman"/>
          <w:color w:val="000000"/>
          <w:kern w:val="0"/>
          <w14:ligatures w14:val="none"/>
        </w:rPr>
        <w:t> and </w:t>
      </w:r>
      <w:r w:rsidRPr="000D3FE3">
        <w:rPr>
          <w:rFonts w:ascii="Times New Roman" w:eastAsia="Times New Roman" w:hAnsi="Times New Roman" w:cs="Times New Roman"/>
          <w:i/>
          <w:iCs/>
          <w:color w:val="000000"/>
          <w:kern w:val="0"/>
          <w14:ligatures w14:val="none"/>
        </w:rPr>
        <w:t>past and future lost wages</w:t>
      </w:r>
      <w:r w:rsidRPr="000D3FE3">
        <w:rPr>
          <w:rFonts w:ascii="Times New Roman" w:eastAsia="Times New Roman" w:hAnsi="Times New Roman" w:cs="Times New Roman"/>
          <w:color w:val="000000"/>
          <w:kern w:val="0"/>
          <w14:ligatures w14:val="none"/>
        </w:rPr>
        <w:t> to a defined class of plaintiffs—those deemed “unauthorized aliens” under federal immigration law—when injured in automobile accidents. Although framed as tort reform, the statute functions as a </w:t>
      </w:r>
      <w:r w:rsidRPr="000D3FE3">
        <w:rPr>
          <w:rFonts w:ascii="Times New Roman" w:eastAsia="Times New Roman" w:hAnsi="Times New Roman" w:cs="Times New Roman"/>
          <w:b/>
          <w:bCs/>
          <w:color w:val="000000"/>
          <w:kern w:val="0"/>
          <w14:ligatures w14:val="none"/>
        </w:rPr>
        <w:t>status-based limitation on remedies</w:t>
      </w:r>
      <w:r w:rsidRPr="000D3FE3">
        <w:rPr>
          <w:rFonts w:ascii="Times New Roman" w:eastAsia="Times New Roman" w:hAnsi="Times New Roman" w:cs="Times New Roman"/>
          <w:color w:val="000000"/>
          <w:kern w:val="0"/>
          <w14:ligatures w14:val="none"/>
        </w:rPr>
        <w:t>, untethered to fault, causation, or conduct.</w:t>
      </w:r>
    </w:p>
    <w:p w14:paraId="30B53C8A"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This report is structured to assist judges and practitioners in quickly identifying (1) how the statute operates, (2) where its strongest constitutional defenses lie, and (3) where it is most vulnerable under existing federal and Louisiana jurisprudence. The analysis proceeds in three substantive stages—</w:t>
      </w:r>
      <w:r w:rsidRPr="000D3FE3">
        <w:rPr>
          <w:rFonts w:ascii="Times New Roman" w:eastAsia="Times New Roman" w:hAnsi="Times New Roman" w:cs="Times New Roman"/>
          <w:b/>
          <w:bCs/>
          <w:color w:val="000000"/>
          <w:kern w:val="0"/>
          <w14:ligatures w14:val="none"/>
        </w:rPr>
        <w:t>statutory structure</w:t>
      </w:r>
      <w:r w:rsidRPr="000D3FE3">
        <w:rPr>
          <w:rFonts w:ascii="Times New Roman" w:eastAsia="Times New Roman" w:hAnsi="Times New Roman" w:cs="Times New Roman"/>
          <w:color w:val="000000"/>
          <w:kern w:val="0"/>
          <w14:ligatures w14:val="none"/>
        </w:rPr>
        <w:t>, </w:t>
      </w:r>
      <w:r w:rsidRPr="000D3FE3">
        <w:rPr>
          <w:rFonts w:ascii="Times New Roman" w:eastAsia="Times New Roman" w:hAnsi="Times New Roman" w:cs="Times New Roman"/>
          <w:b/>
          <w:bCs/>
          <w:color w:val="000000"/>
          <w:kern w:val="0"/>
          <w14:ligatures w14:val="none"/>
        </w:rPr>
        <w:t>federal constitutional review</w:t>
      </w:r>
      <w:r w:rsidRPr="000D3FE3">
        <w:rPr>
          <w:rFonts w:ascii="Times New Roman" w:eastAsia="Times New Roman" w:hAnsi="Times New Roman" w:cs="Times New Roman"/>
          <w:color w:val="000000"/>
          <w:kern w:val="0"/>
          <w14:ligatures w14:val="none"/>
        </w:rPr>
        <w:t>, and </w:t>
      </w:r>
      <w:r w:rsidRPr="000D3FE3">
        <w:rPr>
          <w:rFonts w:ascii="Times New Roman" w:eastAsia="Times New Roman" w:hAnsi="Times New Roman" w:cs="Times New Roman"/>
          <w:b/>
          <w:bCs/>
          <w:color w:val="000000"/>
          <w:kern w:val="0"/>
          <w14:ligatures w14:val="none"/>
        </w:rPr>
        <w:t>Louisiana constitutional review</w:t>
      </w:r>
      <w:r w:rsidRPr="000D3FE3">
        <w:rPr>
          <w:rFonts w:ascii="Times New Roman" w:eastAsia="Times New Roman" w:hAnsi="Times New Roman" w:cs="Times New Roman"/>
          <w:color w:val="000000"/>
          <w:kern w:val="0"/>
          <w14:ligatures w14:val="none"/>
        </w:rPr>
        <w:t>—followed by a discussion of likely litigation consequences, severability, and judicial narrowing.</w:t>
      </w:r>
    </w:p>
    <w:p w14:paraId="33E048BC"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At a high level, the statute’s </w:t>
      </w:r>
      <w:r w:rsidRPr="000D3FE3">
        <w:rPr>
          <w:rFonts w:ascii="Times New Roman" w:eastAsia="Times New Roman" w:hAnsi="Times New Roman" w:cs="Times New Roman"/>
          <w:b/>
          <w:bCs/>
          <w:color w:val="000000"/>
          <w:kern w:val="0"/>
          <w14:ligatures w14:val="none"/>
        </w:rPr>
        <w:t>ban on wage recovery</w:t>
      </w:r>
      <w:r w:rsidRPr="000D3FE3">
        <w:rPr>
          <w:rFonts w:ascii="Times New Roman" w:eastAsia="Times New Roman" w:hAnsi="Times New Roman" w:cs="Times New Roman"/>
          <w:color w:val="000000"/>
          <w:kern w:val="0"/>
          <w14:ligatures w14:val="none"/>
        </w:rPr>
        <w:t> presents a closer constitutional question, given federal immigration law and </w:t>
      </w:r>
      <w:r w:rsidRPr="000D3FE3">
        <w:rPr>
          <w:rFonts w:ascii="Times New Roman" w:eastAsia="Times New Roman" w:hAnsi="Times New Roman" w:cs="Times New Roman"/>
          <w:i/>
          <w:iCs/>
          <w:color w:val="000000"/>
          <w:kern w:val="0"/>
          <w14:ligatures w14:val="none"/>
        </w:rPr>
        <w:t>Hoffman Plastic</w:t>
      </w:r>
      <w:r w:rsidRPr="000D3FE3">
        <w:rPr>
          <w:rFonts w:ascii="Times New Roman" w:eastAsia="Times New Roman" w:hAnsi="Times New Roman" w:cs="Times New Roman"/>
          <w:color w:val="000000"/>
          <w:kern w:val="0"/>
          <w14:ligatures w14:val="none"/>
        </w:rPr>
        <w:t>–based reasoning. By contrast, the </w:t>
      </w:r>
      <w:r w:rsidRPr="000D3FE3">
        <w:rPr>
          <w:rFonts w:ascii="Times New Roman" w:eastAsia="Times New Roman" w:hAnsi="Times New Roman" w:cs="Times New Roman"/>
          <w:b/>
          <w:bCs/>
          <w:color w:val="000000"/>
          <w:kern w:val="0"/>
          <w14:ligatures w14:val="none"/>
        </w:rPr>
        <w:t>ban on general damages</w:t>
      </w:r>
      <w:r w:rsidRPr="000D3FE3">
        <w:rPr>
          <w:rFonts w:ascii="Times New Roman" w:eastAsia="Times New Roman" w:hAnsi="Times New Roman" w:cs="Times New Roman"/>
          <w:color w:val="000000"/>
          <w:kern w:val="0"/>
          <w14:ligatures w14:val="none"/>
        </w:rPr>
        <w:t>, particularly when coupled with the UM/UIM exception, presents the statute’s most serious constitutional risk. Even if partially upheld, Article 2315.12 is likely to be narrowed through judicial construction rather than applied categorically as written.</w:t>
      </w:r>
    </w:p>
    <w:p w14:paraId="3791955F" w14:textId="53FCC8CB" w:rsidR="000D3FE3" w:rsidRPr="000D3FE3" w:rsidRDefault="007A33A4" w:rsidP="000D3FE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237D9392">
          <v:rect id="_x0000_i1026" alt="" style="width:468pt;height:.05pt;mso-width-percent:0;mso-height-percent:0;mso-width-percent:0;mso-height-percent:0" o:hralign="center" o:hrstd="t" o:hr="t" fillcolor="#a0a0a0" stroked="f"/>
        </w:pict>
      </w:r>
    </w:p>
    <w:p w14:paraId="671C1D46" w14:textId="77777777" w:rsidR="000D3FE3" w:rsidRPr="000D3FE3" w:rsidRDefault="000D3FE3" w:rsidP="000D3FE3">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0D3FE3">
        <w:rPr>
          <w:rFonts w:ascii="Times New Roman" w:eastAsia="Times New Roman" w:hAnsi="Times New Roman" w:cs="Times New Roman"/>
          <w:b/>
          <w:bCs/>
          <w:color w:val="000000"/>
          <w:kern w:val="0"/>
          <w:sz w:val="36"/>
          <w:szCs w:val="36"/>
          <w14:ligatures w14:val="none"/>
        </w:rPr>
        <w:t>II. Statutory Architecture: The “Three Buckets” Framework</w:t>
      </w:r>
    </w:p>
    <w:p w14:paraId="3C9BF660"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Article 2315.12 is best understood through a three-part analytical structure that mirrors its text and highlights its internal tensions:</w:t>
      </w:r>
    </w:p>
    <w:p w14:paraId="46478296" w14:textId="77777777" w:rsidR="000D3FE3" w:rsidRPr="000D3FE3" w:rsidRDefault="000D3FE3" w:rsidP="000D3FE3">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b/>
          <w:bCs/>
          <w:color w:val="000000"/>
          <w:kern w:val="0"/>
          <w14:ligatures w14:val="none"/>
        </w:rPr>
        <w:t>The Definition</w:t>
      </w:r>
      <w:r w:rsidRPr="000D3FE3">
        <w:rPr>
          <w:rFonts w:ascii="Times New Roman" w:eastAsia="Times New Roman" w:hAnsi="Times New Roman" w:cs="Times New Roman"/>
          <w:color w:val="000000"/>
          <w:kern w:val="0"/>
          <w14:ligatures w14:val="none"/>
        </w:rPr>
        <w:t> (Subsection A)</w:t>
      </w:r>
    </w:p>
    <w:p w14:paraId="406999CC" w14:textId="77777777" w:rsidR="000D3FE3" w:rsidRPr="000D3FE3" w:rsidRDefault="000D3FE3" w:rsidP="000D3FE3">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b/>
          <w:bCs/>
          <w:color w:val="000000"/>
          <w:kern w:val="0"/>
          <w14:ligatures w14:val="none"/>
        </w:rPr>
        <w:t>The Prohibition</w:t>
      </w:r>
      <w:r w:rsidRPr="000D3FE3">
        <w:rPr>
          <w:rFonts w:ascii="Times New Roman" w:eastAsia="Times New Roman" w:hAnsi="Times New Roman" w:cs="Times New Roman"/>
          <w:color w:val="000000"/>
          <w:kern w:val="0"/>
          <w14:ligatures w14:val="none"/>
        </w:rPr>
        <w:t> (Subsection B)</w:t>
      </w:r>
    </w:p>
    <w:p w14:paraId="2E3DF0C4" w14:textId="77777777" w:rsidR="000D3FE3" w:rsidRPr="000D3FE3" w:rsidRDefault="000D3FE3" w:rsidP="000D3FE3">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b/>
          <w:bCs/>
          <w:color w:val="000000"/>
          <w:kern w:val="0"/>
          <w14:ligatures w14:val="none"/>
        </w:rPr>
        <w:t>The Exception</w:t>
      </w:r>
      <w:r w:rsidRPr="000D3FE3">
        <w:rPr>
          <w:rFonts w:ascii="Times New Roman" w:eastAsia="Times New Roman" w:hAnsi="Times New Roman" w:cs="Times New Roman"/>
          <w:color w:val="000000"/>
          <w:kern w:val="0"/>
          <w14:ligatures w14:val="none"/>
        </w:rPr>
        <w:t> (Subsection C)</w:t>
      </w:r>
    </w:p>
    <w:p w14:paraId="194A57E3"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This framework is particularly useful for both constitutional analysis and trial-level application.</w:t>
      </w:r>
    </w:p>
    <w:p w14:paraId="541A5A48" w14:textId="77777777" w:rsidR="000D3FE3" w:rsidRPr="000D3FE3" w:rsidRDefault="000D3FE3" w:rsidP="000D3FE3">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0D3FE3">
        <w:rPr>
          <w:rFonts w:ascii="Times New Roman" w:eastAsia="Times New Roman" w:hAnsi="Times New Roman" w:cs="Times New Roman"/>
          <w:b/>
          <w:bCs/>
          <w:color w:val="000000"/>
          <w:kern w:val="0"/>
          <w:sz w:val="27"/>
          <w:szCs w:val="27"/>
          <w14:ligatures w14:val="none"/>
        </w:rPr>
        <w:t>A. The Definition: Incorporation of Federal Immigration Law</w:t>
      </w:r>
    </w:p>
    <w:p w14:paraId="12066C8D"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lastRenderedPageBreak/>
        <w:t>The statute defines an “unauthorized alien” as a person who is </w:t>
      </w:r>
      <w:r w:rsidRPr="000D3FE3">
        <w:rPr>
          <w:rFonts w:ascii="Times New Roman" w:eastAsia="Times New Roman" w:hAnsi="Times New Roman" w:cs="Times New Roman"/>
          <w:i/>
          <w:iCs/>
          <w:color w:val="000000"/>
          <w:kern w:val="0"/>
          <w14:ligatures w14:val="none"/>
        </w:rPr>
        <w:t>unlawfully present</w:t>
      </w:r>
      <w:r w:rsidRPr="000D3FE3">
        <w:rPr>
          <w:rFonts w:ascii="Times New Roman" w:eastAsia="Times New Roman" w:hAnsi="Times New Roman" w:cs="Times New Roman"/>
          <w:color w:val="000000"/>
          <w:kern w:val="0"/>
          <w14:ligatures w14:val="none"/>
        </w:rPr>
        <w:t> under the Immigration and Nationality Act. By incorporating federal law wholesale, the Legislature avoided creating an independent state standard—but in doing so, it imported a highly technical federal concept into routine state tort litigation.</w:t>
      </w:r>
    </w:p>
    <w:p w14:paraId="1B7F2262"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From a practical standpoint, this choice raises immediate threshold questions that are not answered by the statute itself:</w:t>
      </w:r>
    </w:p>
    <w:p w14:paraId="7756D62D" w14:textId="77777777" w:rsidR="000D3FE3" w:rsidRPr="000D3FE3" w:rsidRDefault="000D3FE3" w:rsidP="000D3FE3">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Which party bears the burden of proving unlawful presence?</w:t>
      </w:r>
    </w:p>
    <w:p w14:paraId="59636E9D" w14:textId="77777777" w:rsidR="000D3FE3" w:rsidRPr="000D3FE3" w:rsidRDefault="000D3FE3" w:rsidP="000D3FE3">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What quantum of proof suffices in a state civil proceeding?</w:t>
      </w:r>
    </w:p>
    <w:p w14:paraId="56975706" w14:textId="77777777" w:rsidR="000D3FE3" w:rsidRPr="000D3FE3" w:rsidRDefault="000D3FE3" w:rsidP="000D3FE3">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How should a state court treat unresolved or discretionary federal immigration determinations?</w:t>
      </w:r>
    </w:p>
    <w:p w14:paraId="06F260CB"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The statute therefore invites early motion practice, bifurcation requests, and discovery disputes focused not on fault or injury, but on federal status classifications that state courts are ill-equipped to adjudicate with uniformity.</w:t>
      </w:r>
    </w:p>
    <w:p w14:paraId="1B77F688" w14:textId="77777777" w:rsidR="000D3FE3" w:rsidRPr="000D3FE3" w:rsidRDefault="000D3FE3" w:rsidP="000D3FE3">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0D3FE3">
        <w:rPr>
          <w:rFonts w:ascii="Times New Roman" w:eastAsia="Times New Roman" w:hAnsi="Times New Roman" w:cs="Times New Roman"/>
          <w:b/>
          <w:bCs/>
          <w:color w:val="000000"/>
          <w:kern w:val="0"/>
          <w:sz w:val="27"/>
          <w:szCs w:val="27"/>
          <w14:ligatures w14:val="none"/>
        </w:rPr>
        <w:t>B. The Prohibition: What Is Barred—and What Is Not</w:t>
      </w:r>
    </w:p>
    <w:p w14:paraId="64398E61"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Subsection B bars recovery of </w:t>
      </w:r>
      <w:r w:rsidRPr="000D3FE3">
        <w:rPr>
          <w:rFonts w:ascii="Times New Roman" w:eastAsia="Times New Roman" w:hAnsi="Times New Roman" w:cs="Times New Roman"/>
          <w:b/>
          <w:bCs/>
          <w:color w:val="000000"/>
          <w:kern w:val="0"/>
          <w14:ligatures w14:val="none"/>
        </w:rPr>
        <w:t>general damages</w:t>
      </w:r>
      <w:r w:rsidRPr="000D3FE3">
        <w:rPr>
          <w:rFonts w:ascii="Times New Roman" w:eastAsia="Times New Roman" w:hAnsi="Times New Roman" w:cs="Times New Roman"/>
          <w:color w:val="000000"/>
          <w:kern w:val="0"/>
          <w14:ligatures w14:val="none"/>
        </w:rPr>
        <w:t> and </w:t>
      </w:r>
      <w:r w:rsidRPr="000D3FE3">
        <w:rPr>
          <w:rFonts w:ascii="Times New Roman" w:eastAsia="Times New Roman" w:hAnsi="Times New Roman" w:cs="Times New Roman"/>
          <w:b/>
          <w:bCs/>
          <w:color w:val="000000"/>
          <w:kern w:val="0"/>
          <w14:ligatures w14:val="none"/>
        </w:rPr>
        <w:t>past and future wages</w:t>
      </w:r>
      <w:r w:rsidRPr="000D3FE3">
        <w:rPr>
          <w:rFonts w:ascii="Times New Roman" w:eastAsia="Times New Roman" w:hAnsi="Times New Roman" w:cs="Times New Roman"/>
          <w:color w:val="000000"/>
          <w:kern w:val="0"/>
          <w14:ligatures w14:val="none"/>
        </w:rPr>
        <w:t> in actions arising from automobile accidents. Notably, it does </w:t>
      </w:r>
      <w:r w:rsidRPr="000D3FE3">
        <w:rPr>
          <w:rFonts w:ascii="Times New Roman" w:eastAsia="Times New Roman" w:hAnsi="Times New Roman" w:cs="Times New Roman"/>
          <w:i/>
          <w:iCs/>
          <w:color w:val="000000"/>
          <w:kern w:val="0"/>
          <w14:ligatures w14:val="none"/>
        </w:rPr>
        <w:t>not</w:t>
      </w:r>
      <w:r w:rsidRPr="000D3FE3">
        <w:rPr>
          <w:rFonts w:ascii="Times New Roman" w:eastAsia="Times New Roman" w:hAnsi="Times New Roman" w:cs="Times New Roman"/>
          <w:color w:val="000000"/>
          <w:kern w:val="0"/>
          <w14:ligatures w14:val="none"/>
        </w:rPr>
        <w:t> bar recovery of special damages such as medical expenses or property damage.</w:t>
      </w:r>
    </w:p>
    <w:p w14:paraId="0F180A50"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This distinction is constitutionally significant. General damages are the principal means by which Louisiana tort law compensates pain, suffering, disability, and loss of enjoyment of life. Their categorical elimination fundamentally alters the remedial character of the cause of action for the affected class.</w:t>
      </w:r>
    </w:p>
    <w:p w14:paraId="28506832" w14:textId="77777777" w:rsidR="000D3FE3" w:rsidRPr="000D3FE3" w:rsidRDefault="000D3FE3" w:rsidP="000D3FE3">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0D3FE3">
        <w:rPr>
          <w:rFonts w:ascii="Times New Roman" w:eastAsia="Times New Roman" w:hAnsi="Times New Roman" w:cs="Times New Roman"/>
          <w:b/>
          <w:bCs/>
          <w:color w:val="000000"/>
          <w:kern w:val="0"/>
          <w:sz w:val="27"/>
          <w:szCs w:val="27"/>
          <w14:ligatures w14:val="none"/>
        </w:rPr>
        <w:t>C. The Exception: UM/UIM Claims</w:t>
      </w:r>
    </w:p>
    <w:p w14:paraId="2FBA046E"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Subsection C provides that the statute does not apply to claims brought against UM/UIM policies when the plaintiff is a named insured. This carve-out is central to the constitutional analysis.</w:t>
      </w:r>
    </w:p>
    <w:p w14:paraId="0E48C7A1"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If the statute’s purpose were genuinely to deter unlawful presence or to avoid rewarding illegal conduct, the availability of first-party insurance would be irrelevant. The exception strongly suggests that the statute’s primary effect—and perhaps its true function—is to shield third-party liability insurers from paying certain categories of damages, while preserving coverage where premiums have already been collected.</w:t>
      </w:r>
    </w:p>
    <w:p w14:paraId="191F32E6"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This internal inconsistency substantially weakens the statute’s rational-basis defense.</w:t>
      </w:r>
    </w:p>
    <w:p w14:paraId="5CF05900" w14:textId="77777777" w:rsidR="000D3FE3" w:rsidRPr="000D3FE3" w:rsidRDefault="007A33A4" w:rsidP="000D3FE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23931AFD">
          <v:rect id="_x0000_i1027" alt="" style="width:468pt;height:.05pt;mso-width-percent:0;mso-height-percent:0;mso-width-percent:0;mso-height-percent:0" o:hralign="center" o:hrstd="t" o:hr="t" fillcolor="#a0a0a0" stroked="f"/>
        </w:pict>
      </w:r>
    </w:p>
    <w:p w14:paraId="0B933EBA" w14:textId="77777777" w:rsidR="000D3FE3" w:rsidRPr="000D3FE3" w:rsidRDefault="000D3FE3" w:rsidP="000D3FE3">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0D3FE3">
        <w:rPr>
          <w:rFonts w:ascii="Times New Roman" w:eastAsia="Times New Roman" w:hAnsi="Times New Roman" w:cs="Times New Roman"/>
          <w:b/>
          <w:bCs/>
          <w:color w:val="000000"/>
          <w:kern w:val="0"/>
          <w:sz w:val="36"/>
          <w:szCs w:val="36"/>
          <w14:ligatures w14:val="none"/>
        </w:rPr>
        <w:t>III. Federal Preemption and the Hoffman Divide</w:t>
      </w:r>
    </w:p>
    <w:p w14:paraId="2ADA245D" w14:textId="77777777" w:rsidR="000D3FE3" w:rsidRPr="000D3FE3" w:rsidRDefault="000D3FE3" w:rsidP="000D3FE3">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0D3FE3">
        <w:rPr>
          <w:rFonts w:ascii="Times New Roman" w:eastAsia="Times New Roman" w:hAnsi="Times New Roman" w:cs="Times New Roman"/>
          <w:b/>
          <w:bCs/>
          <w:color w:val="000000"/>
          <w:kern w:val="0"/>
          <w:sz w:val="27"/>
          <w:szCs w:val="27"/>
          <w14:ligatures w14:val="none"/>
        </w:rPr>
        <w:lastRenderedPageBreak/>
        <w:t>A. What Hoffman Plastic Actually Held</w:t>
      </w:r>
    </w:p>
    <w:p w14:paraId="0DB1BF82"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i/>
          <w:iCs/>
          <w:color w:val="000000"/>
          <w:kern w:val="0"/>
          <w14:ligatures w14:val="none"/>
        </w:rPr>
        <w:t>Hoffman Plastic Compounds, Inc. v. NLRB</w:t>
      </w:r>
      <w:r w:rsidRPr="000D3FE3">
        <w:rPr>
          <w:rFonts w:ascii="Times New Roman" w:eastAsia="Times New Roman" w:hAnsi="Times New Roman" w:cs="Times New Roman"/>
          <w:color w:val="000000"/>
          <w:kern w:val="0"/>
          <w14:ligatures w14:val="none"/>
        </w:rPr>
        <w:t> bars </w:t>
      </w:r>
      <w:r w:rsidRPr="000D3FE3">
        <w:rPr>
          <w:rFonts w:ascii="Times New Roman" w:eastAsia="Times New Roman" w:hAnsi="Times New Roman" w:cs="Times New Roman"/>
          <w:b/>
          <w:bCs/>
          <w:color w:val="000000"/>
          <w:kern w:val="0"/>
          <w14:ligatures w14:val="none"/>
        </w:rPr>
        <w:t>backpay awarded by a federal agency</w:t>
      </w:r>
      <w:r w:rsidRPr="000D3FE3">
        <w:rPr>
          <w:rFonts w:ascii="Times New Roman" w:eastAsia="Times New Roman" w:hAnsi="Times New Roman" w:cs="Times New Roman"/>
          <w:color w:val="000000"/>
          <w:kern w:val="0"/>
          <w14:ligatures w14:val="none"/>
        </w:rPr>
        <w:t> to an undocumented worker whose employment itself violated IRCA. The decision rests on preventing federal labor remedies from undermining federal immigration enforcement.</w:t>
      </w:r>
    </w:p>
    <w:p w14:paraId="770C88C8"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Crucially, Hoffman:</w:t>
      </w:r>
    </w:p>
    <w:p w14:paraId="36E86774" w14:textId="77777777" w:rsidR="000D3FE3" w:rsidRPr="000D3FE3" w:rsidRDefault="000D3FE3" w:rsidP="000D3FE3">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Did </w:t>
      </w:r>
      <w:r w:rsidRPr="000D3FE3">
        <w:rPr>
          <w:rFonts w:ascii="Times New Roman" w:eastAsia="Times New Roman" w:hAnsi="Times New Roman" w:cs="Times New Roman"/>
          <w:b/>
          <w:bCs/>
          <w:color w:val="000000"/>
          <w:kern w:val="0"/>
          <w14:ligatures w14:val="none"/>
        </w:rPr>
        <w:t>not</w:t>
      </w:r>
      <w:r w:rsidRPr="000D3FE3">
        <w:rPr>
          <w:rFonts w:ascii="Times New Roman" w:eastAsia="Times New Roman" w:hAnsi="Times New Roman" w:cs="Times New Roman"/>
          <w:color w:val="000000"/>
          <w:kern w:val="0"/>
          <w14:ligatures w14:val="none"/>
        </w:rPr>
        <w:t> involve tort law;</w:t>
      </w:r>
    </w:p>
    <w:p w14:paraId="0CD59E4B" w14:textId="77777777" w:rsidR="000D3FE3" w:rsidRPr="000D3FE3" w:rsidRDefault="000D3FE3" w:rsidP="000D3FE3">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Did </w:t>
      </w:r>
      <w:r w:rsidRPr="000D3FE3">
        <w:rPr>
          <w:rFonts w:ascii="Times New Roman" w:eastAsia="Times New Roman" w:hAnsi="Times New Roman" w:cs="Times New Roman"/>
          <w:b/>
          <w:bCs/>
          <w:color w:val="000000"/>
          <w:kern w:val="0"/>
          <w14:ligatures w14:val="none"/>
        </w:rPr>
        <w:t>not</w:t>
      </w:r>
      <w:r w:rsidRPr="000D3FE3">
        <w:rPr>
          <w:rFonts w:ascii="Times New Roman" w:eastAsia="Times New Roman" w:hAnsi="Times New Roman" w:cs="Times New Roman"/>
          <w:color w:val="000000"/>
          <w:kern w:val="0"/>
          <w14:ligatures w14:val="none"/>
        </w:rPr>
        <w:t> involve a private negligence action;</w:t>
      </w:r>
    </w:p>
    <w:p w14:paraId="7A264BDB" w14:textId="77777777" w:rsidR="000D3FE3" w:rsidRPr="000D3FE3" w:rsidRDefault="000D3FE3" w:rsidP="000D3FE3">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Did </w:t>
      </w:r>
      <w:r w:rsidRPr="000D3FE3">
        <w:rPr>
          <w:rFonts w:ascii="Times New Roman" w:eastAsia="Times New Roman" w:hAnsi="Times New Roman" w:cs="Times New Roman"/>
          <w:b/>
          <w:bCs/>
          <w:color w:val="000000"/>
          <w:kern w:val="0"/>
          <w14:ligatures w14:val="none"/>
        </w:rPr>
        <w:t>not</w:t>
      </w:r>
      <w:r w:rsidRPr="000D3FE3">
        <w:rPr>
          <w:rFonts w:ascii="Times New Roman" w:eastAsia="Times New Roman" w:hAnsi="Times New Roman" w:cs="Times New Roman"/>
          <w:color w:val="000000"/>
          <w:kern w:val="0"/>
          <w14:ligatures w14:val="none"/>
        </w:rPr>
        <w:t> announce a categorical rule barring all wage</w:t>
      </w:r>
      <w:r w:rsidRPr="000D3FE3">
        <w:rPr>
          <w:rFonts w:ascii="Times New Roman" w:eastAsia="Times New Roman" w:hAnsi="Times New Roman" w:cs="Times New Roman"/>
          <w:color w:val="000000"/>
          <w:kern w:val="0"/>
          <w14:ligatures w14:val="none"/>
        </w:rPr>
        <w:noBreakHyphen/>
        <w:t>based remedies to undocumented persons.</w:t>
      </w:r>
    </w:p>
    <w:p w14:paraId="2A38FBA2" w14:textId="77777777" w:rsidR="000D3FE3" w:rsidRPr="000D3FE3" w:rsidRDefault="000D3FE3" w:rsidP="000D3FE3">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0D3FE3">
        <w:rPr>
          <w:rFonts w:ascii="Times New Roman" w:eastAsia="Times New Roman" w:hAnsi="Times New Roman" w:cs="Times New Roman"/>
          <w:b/>
          <w:bCs/>
          <w:color w:val="000000"/>
          <w:kern w:val="0"/>
          <w:sz w:val="27"/>
          <w:szCs w:val="27"/>
          <w14:ligatures w14:val="none"/>
        </w:rPr>
        <w:t>B. Majority State Approach vs. Minority Approach</w:t>
      </w:r>
    </w:p>
    <w:p w14:paraId="671A3F0E"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Most states (Texas, California, New York) have declined to extend Hoffman to tort damages, reasoning that:</w:t>
      </w:r>
    </w:p>
    <w:p w14:paraId="74F1E7AE" w14:textId="77777777" w:rsidR="000D3FE3" w:rsidRPr="000D3FE3" w:rsidRDefault="000D3FE3" w:rsidP="000D3FE3">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Tort law regulates </w:t>
      </w:r>
      <w:r w:rsidRPr="000D3FE3">
        <w:rPr>
          <w:rFonts w:ascii="Times New Roman" w:eastAsia="Times New Roman" w:hAnsi="Times New Roman" w:cs="Times New Roman"/>
          <w:i/>
          <w:iCs/>
          <w:color w:val="000000"/>
          <w:kern w:val="0"/>
          <w14:ligatures w14:val="none"/>
        </w:rPr>
        <w:t>negligence</w:t>
      </w:r>
      <w:r w:rsidRPr="000D3FE3">
        <w:rPr>
          <w:rFonts w:ascii="Times New Roman" w:eastAsia="Times New Roman" w:hAnsi="Times New Roman" w:cs="Times New Roman"/>
          <w:color w:val="000000"/>
          <w:kern w:val="0"/>
          <w14:ligatures w14:val="none"/>
        </w:rPr>
        <w:t>, not immigration;</w:t>
      </w:r>
    </w:p>
    <w:p w14:paraId="7F51F81E" w14:textId="77777777" w:rsidR="000D3FE3" w:rsidRPr="000D3FE3" w:rsidRDefault="000D3FE3" w:rsidP="000D3FE3">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Denying damages creates perverse incentives to injure undocumented persons;</w:t>
      </w:r>
    </w:p>
    <w:p w14:paraId="06A8851F" w14:textId="77777777" w:rsidR="000D3FE3" w:rsidRPr="000D3FE3" w:rsidRDefault="000D3FE3" w:rsidP="000D3FE3">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A negligent tortfeasor should not receive a windfall.</w:t>
      </w:r>
    </w:p>
    <w:p w14:paraId="0A07B13C"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Florida—and now Louisiana by statute—has adopted the minority view, treating undocumented labor as legally valueless for tort purposes.</w:t>
      </w:r>
    </w:p>
    <w:p w14:paraId="6426FC66" w14:textId="77777777" w:rsidR="000D3FE3" w:rsidRPr="000D3FE3" w:rsidRDefault="000D3FE3" w:rsidP="000D3FE3">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0D3FE3">
        <w:rPr>
          <w:rFonts w:ascii="Times New Roman" w:eastAsia="Times New Roman" w:hAnsi="Times New Roman" w:cs="Times New Roman"/>
          <w:b/>
          <w:bCs/>
          <w:color w:val="000000"/>
          <w:kern w:val="0"/>
          <w:sz w:val="27"/>
          <w:szCs w:val="27"/>
          <w14:ligatures w14:val="none"/>
        </w:rPr>
        <w:t>C. Fifth Circuit Tension</w:t>
      </w:r>
    </w:p>
    <w:p w14:paraId="46ADB856"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Fifth Circuit precedent allows recovery of lost wages by undocumented plaintiffs, with damages adjusted to reflect likely deportation or home</w:t>
      </w:r>
      <w:r w:rsidRPr="000D3FE3">
        <w:rPr>
          <w:rFonts w:ascii="Times New Roman" w:eastAsia="Times New Roman" w:hAnsi="Times New Roman" w:cs="Times New Roman"/>
          <w:color w:val="000000"/>
          <w:kern w:val="0"/>
          <w14:ligatures w14:val="none"/>
        </w:rPr>
        <w:noBreakHyphen/>
        <w:t>country earning capacity. Article 2315.12 goes further, imposing a </w:t>
      </w:r>
      <w:r w:rsidRPr="000D3FE3">
        <w:rPr>
          <w:rFonts w:ascii="Times New Roman" w:eastAsia="Times New Roman" w:hAnsi="Times New Roman" w:cs="Times New Roman"/>
          <w:b/>
          <w:bCs/>
          <w:color w:val="000000"/>
          <w:kern w:val="0"/>
          <w14:ligatures w14:val="none"/>
        </w:rPr>
        <w:t>total legislative ban</w:t>
      </w:r>
      <w:r w:rsidRPr="000D3FE3">
        <w:rPr>
          <w:rFonts w:ascii="Times New Roman" w:eastAsia="Times New Roman" w:hAnsi="Times New Roman" w:cs="Times New Roman"/>
          <w:color w:val="000000"/>
          <w:kern w:val="0"/>
          <w14:ligatures w14:val="none"/>
        </w:rPr>
        <w:t>, placing it in tension with established Fifth Circuit remedial principles.</w:t>
      </w:r>
    </w:p>
    <w:p w14:paraId="11858892" w14:textId="77777777" w:rsidR="000D3FE3" w:rsidRPr="000D3FE3" w:rsidRDefault="007A33A4" w:rsidP="000D3FE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5D7F124E">
          <v:rect id="_x0000_i1028" alt="" style="width:468pt;height:.05pt;mso-width-percent:0;mso-height-percent:0;mso-width-percent:0;mso-height-percent:0" o:hralign="center" o:hrstd="t" o:hr="t" fillcolor="#a0a0a0" stroked="f"/>
        </w:pict>
      </w:r>
    </w:p>
    <w:p w14:paraId="4AD50DE6" w14:textId="77777777" w:rsidR="000D3FE3" w:rsidRPr="000D3FE3" w:rsidRDefault="000D3FE3" w:rsidP="000D3FE3">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0D3FE3">
        <w:rPr>
          <w:rFonts w:ascii="Times New Roman" w:eastAsia="Times New Roman" w:hAnsi="Times New Roman" w:cs="Times New Roman"/>
          <w:b/>
          <w:bCs/>
          <w:color w:val="000000"/>
          <w:kern w:val="0"/>
          <w:sz w:val="36"/>
          <w:szCs w:val="36"/>
          <w14:ligatures w14:val="none"/>
        </w:rPr>
        <w:t>IV. Equal Protection Analysis: Federal and State Perspectives</w:t>
      </w:r>
    </w:p>
    <w:p w14:paraId="6A83079E" w14:textId="77777777" w:rsidR="000D3FE3" w:rsidRPr="000D3FE3" w:rsidRDefault="000D3FE3" w:rsidP="000D3FE3">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0D3FE3">
        <w:rPr>
          <w:rFonts w:ascii="Times New Roman" w:eastAsia="Times New Roman" w:hAnsi="Times New Roman" w:cs="Times New Roman"/>
          <w:b/>
          <w:bCs/>
          <w:color w:val="000000"/>
          <w:kern w:val="0"/>
          <w:sz w:val="27"/>
          <w:szCs w:val="27"/>
          <w14:ligatures w14:val="none"/>
        </w:rPr>
        <w:t>A. Federal Equal Protection (Fourteenth Amendment)</w:t>
      </w:r>
    </w:p>
    <w:p w14:paraId="3FC83B26"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Undocumented immigrants are “persons” entitled to equal protection under the Fourteenth Amendment. However, they are not a suspect class, and Article 2315.12 is therefore subject to </w:t>
      </w:r>
      <w:r w:rsidRPr="000D3FE3">
        <w:rPr>
          <w:rFonts w:ascii="Times New Roman" w:eastAsia="Times New Roman" w:hAnsi="Times New Roman" w:cs="Times New Roman"/>
          <w:b/>
          <w:bCs/>
          <w:color w:val="000000"/>
          <w:kern w:val="0"/>
          <w14:ligatures w14:val="none"/>
        </w:rPr>
        <w:t>rational-basis review</w:t>
      </w:r>
      <w:r w:rsidRPr="000D3FE3">
        <w:rPr>
          <w:rFonts w:ascii="Times New Roman" w:eastAsia="Times New Roman" w:hAnsi="Times New Roman" w:cs="Times New Roman"/>
          <w:color w:val="000000"/>
          <w:kern w:val="0"/>
          <w14:ligatures w14:val="none"/>
        </w:rPr>
        <w:t> at the federal level.</w:t>
      </w:r>
    </w:p>
    <w:p w14:paraId="7F91F937"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A useful analytical distinction—particularly for judicial audiences—is to separate the statute’s two principal prohibitions.</w:t>
      </w:r>
    </w:p>
    <w:p w14:paraId="1E12C013" w14:textId="77777777" w:rsidR="000D3FE3" w:rsidRPr="000D3FE3" w:rsidRDefault="000D3FE3" w:rsidP="000D3FE3">
      <w:pPr>
        <w:spacing w:before="100" w:beforeAutospacing="1" w:after="100" w:afterAutospacing="1" w:line="240" w:lineRule="auto"/>
        <w:outlineLvl w:val="3"/>
        <w:rPr>
          <w:rFonts w:ascii="Times New Roman" w:eastAsia="Times New Roman" w:hAnsi="Times New Roman" w:cs="Times New Roman"/>
          <w:b/>
          <w:bCs/>
          <w:color w:val="000000"/>
          <w:kern w:val="0"/>
          <w14:ligatures w14:val="none"/>
        </w:rPr>
      </w:pPr>
      <w:r w:rsidRPr="000D3FE3">
        <w:rPr>
          <w:rFonts w:ascii="Times New Roman" w:eastAsia="Times New Roman" w:hAnsi="Times New Roman" w:cs="Times New Roman"/>
          <w:b/>
          <w:bCs/>
          <w:color w:val="000000"/>
          <w:kern w:val="0"/>
          <w14:ligatures w14:val="none"/>
        </w:rPr>
        <w:lastRenderedPageBreak/>
        <w:t>1. Lost Wages: The State’s Strongest Position</w:t>
      </w:r>
    </w:p>
    <w:p w14:paraId="505F4D94"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The State will rely heavily on </w:t>
      </w:r>
      <w:r w:rsidRPr="000D3FE3">
        <w:rPr>
          <w:rFonts w:ascii="Times New Roman" w:eastAsia="Times New Roman" w:hAnsi="Times New Roman" w:cs="Times New Roman"/>
          <w:i/>
          <w:iCs/>
          <w:color w:val="000000"/>
          <w:kern w:val="0"/>
          <w14:ligatures w14:val="none"/>
        </w:rPr>
        <w:t>Hoffman Plastic Compounds, Inc. v. NLRB</w:t>
      </w:r>
      <w:r w:rsidRPr="000D3FE3">
        <w:rPr>
          <w:rFonts w:ascii="Times New Roman" w:eastAsia="Times New Roman" w:hAnsi="Times New Roman" w:cs="Times New Roman"/>
          <w:color w:val="000000"/>
          <w:kern w:val="0"/>
          <w14:ligatures w14:val="none"/>
        </w:rPr>
        <w:t> and the Immigration Reform and Control Act (IRCA) to argue that courts should not award compensation for wages that federal law forbids a person from earning. Under this theory, future lost wages are not truly “lost” if the plaintiff lacked legal authorization to earn them.</w:t>
      </w:r>
    </w:p>
    <w:p w14:paraId="732FF4D7"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Although many courts have rejected extending </w:t>
      </w:r>
      <w:r w:rsidRPr="000D3FE3">
        <w:rPr>
          <w:rFonts w:ascii="Times New Roman" w:eastAsia="Times New Roman" w:hAnsi="Times New Roman" w:cs="Times New Roman"/>
          <w:i/>
          <w:iCs/>
          <w:color w:val="000000"/>
          <w:kern w:val="0"/>
          <w14:ligatures w14:val="none"/>
        </w:rPr>
        <w:t>Hoffman</w:t>
      </w:r>
      <w:r w:rsidRPr="000D3FE3">
        <w:rPr>
          <w:rFonts w:ascii="Times New Roman" w:eastAsia="Times New Roman" w:hAnsi="Times New Roman" w:cs="Times New Roman"/>
          <w:color w:val="000000"/>
          <w:kern w:val="0"/>
          <w14:ligatures w14:val="none"/>
        </w:rPr>
        <w:t> to tort law, the wage prohibition presents a closer constitutional question and is likely the most defensible portion of the statute under rational-basis review.</w:t>
      </w:r>
    </w:p>
    <w:p w14:paraId="11D0C04A" w14:textId="77777777" w:rsidR="000D3FE3" w:rsidRPr="000D3FE3" w:rsidRDefault="000D3FE3" w:rsidP="000D3FE3">
      <w:pPr>
        <w:spacing w:before="100" w:beforeAutospacing="1" w:after="100" w:afterAutospacing="1" w:line="240" w:lineRule="auto"/>
        <w:outlineLvl w:val="3"/>
        <w:rPr>
          <w:rFonts w:ascii="Times New Roman" w:eastAsia="Times New Roman" w:hAnsi="Times New Roman" w:cs="Times New Roman"/>
          <w:b/>
          <w:bCs/>
          <w:color w:val="000000"/>
          <w:kern w:val="0"/>
          <w14:ligatures w14:val="none"/>
        </w:rPr>
      </w:pPr>
      <w:r w:rsidRPr="000D3FE3">
        <w:rPr>
          <w:rFonts w:ascii="Times New Roman" w:eastAsia="Times New Roman" w:hAnsi="Times New Roman" w:cs="Times New Roman"/>
          <w:b/>
          <w:bCs/>
          <w:color w:val="000000"/>
          <w:kern w:val="0"/>
          <w14:ligatures w14:val="none"/>
        </w:rPr>
        <w:t>2. General Damages: The Statute’s Most Vulnerable Feature</w:t>
      </w:r>
    </w:p>
    <w:p w14:paraId="106D84D1"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The prohibition on general damages raises a distinct and more serious equal protection concern. Pain, suffering, and physical impairment are unrelated to immigration status. A broken leg, permanent disability, or chronic pain is experienced identically regardless of a plaintiff’s legal status.</w:t>
      </w:r>
    </w:p>
    <w:p w14:paraId="548D06AA"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The State’s asserted interest in immigration deterrence bears little logical relationship to denying compensation for non-economic injury arising from unintentional automobile accidents. As such, plaintiffs will argue that this portion of the statute resembles the kind of broad, status-based civil disability that has failed rational-basis review when it is untethered to the statute’s stated purpose.</w:t>
      </w:r>
    </w:p>
    <w:p w14:paraId="41457F33"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Courts applying </w:t>
      </w:r>
      <w:r w:rsidRPr="000D3FE3">
        <w:rPr>
          <w:rFonts w:ascii="Times New Roman" w:eastAsia="Times New Roman" w:hAnsi="Times New Roman" w:cs="Times New Roman"/>
          <w:i/>
          <w:iCs/>
          <w:color w:val="000000"/>
          <w:kern w:val="0"/>
          <w14:ligatures w14:val="none"/>
        </w:rPr>
        <w:t>Romer v. Evans</w:t>
      </w:r>
      <w:r w:rsidRPr="000D3FE3">
        <w:rPr>
          <w:rFonts w:ascii="Times New Roman" w:eastAsia="Times New Roman" w:hAnsi="Times New Roman" w:cs="Times New Roman"/>
          <w:color w:val="000000"/>
          <w:kern w:val="0"/>
          <w14:ligatures w14:val="none"/>
        </w:rPr>
        <w:t>–style analysis may find the general-damages ban difficult to justify, particularly in light of the UM/UIM exception.</w:t>
      </w:r>
    </w:p>
    <w:p w14:paraId="222DA065" w14:textId="77777777" w:rsidR="000D3FE3" w:rsidRPr="000D3FE3" w:rsidRDefault="000D3FE3" w:rsidP="000D3FE3">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0D3FE3">
        <w:rPr>
          <w:rFonts w:ascii="Times New Roman" w:eastAsia="Times New Roman" w:hAnsi="Times New Roman" w:cs="Times New Roman"/>
          <w:b/>
          <w:bCs/>
          <w:color w:val="000000"/>
          <w:kern w:val="0"/>
          <w:sz w:val="27"/>
          <w:szCs w:val="27"/>
          <w14:ligatures w14:val="none"/>
        </w:rPr>
        <w:t>B. Louisiana Equal Protection (La. Const. art. I, § 3)</w:t>
      </w:r>
    </w:p>
    <w:p w14:paraId="4B6F0680"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Louisiana’s Equal Protection clause is textually broader than its federal counterpart and has been interpreted to provide heightened scrutiny for certain classifications. Litigants are likely to argue that classifications tied to alienage or national origin implicate the constitutional protections associated with “birth” or “culture,” shifting the burden to the State to demonstrate that the statute substantially furthers a legitimate interest.</w:t>
      </w:r>
    </w:p>
    <w:p w14:paraId="7D594519"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Whether courts ultimately accept that framing remains unsettled, but it represents an additional avenue of constitutional risk under state law.</w:t>
      </w:r>
    </w:p>
    <w:p w14:paraId="64BCBFCC" w14:textId="77777777" w:rsidR="000D3FE3" w:rsidRPr="000D3FE3" w:rsidRDefault="007A33A4" w:rsidP="000D3FE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6EEE3597">
          <v:rect id="_x0000_i1029" alt="" style="width:468pt;height:.05pt;mso-width-percent:0;mso-height-percent:0;mso-width-percent:0;mso-height-percent:0" o:hralign="center" o:hrstd="t" o:hr="t" fillcolor="#a0a0a0" stroked="f"/>
        </w:pict>
      </w:r>
    </w:p>
    <w:p w14:paraId="3816EEB8" w14:textId="77777777" w:rsidR="000D3FE3" w:rsidRPr="000D3FE3" w:rsidRDefault="000D3FE3" w:rsidP="000D3FE3">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0D3FE3">
        <w:rPr>
          <w:rFonts w:ascii="Times New Roman" w:eastAsia="Times New Roman" w:hAnsi="Times New Roman" w:cs="Times New Roman"/>
          <w:b/>
          <w:bCs/>
          <w:color w:val="000000"/>
          <w:kern w:val="0"/>
          <w:sz w:val="36"/>
          <w:szCs w:val="36"/>
          <w14:ligatures w14:val="none"/>
        </w:rPr>
        <w:t>V. Open Courts and Adequate Remedy (La. Const. art. I, § 22)</w:t>
      </w:r>
    </w:p>
    <w:p w14:paraId="62D0DB1D"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lastRenderedPageBreak/>
        <w:t>Article I, § 22 guarantees that “every person shall have an adequate remedy by due process of law.” Louisiana courts have upheld legislative modifications to tort remedies, but only within defined limits.</w:t>
      </w:r>
    </w:p>
    <w:p w14:paraId="0172D250" w14:textId="77777777" w:rsidR="000D3FE3" w:rsidRPr="000D3FE3" w:rsidRDefault="000D3FE3" w:rsidP="000D3FE3">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0D3FE3">
        <w:rPr>
          <w:rFonts w:ascii="Times New Roman" w:eastAsia="Times New Roman" w:hAnsi="Times New Roman" w:cs="Times New Roman"/>
          <w:b/>
          <w:bCs/>
          <w:color w:val="000000"/>
          <w:kern w:val="0"/>
          <w:sz w:val="27"/>
          <w:szCs w:val="27"/>
          <w14:ligatures w14:val="none"/>
        </w:rPr>
        <w:t>A. Caps Versus Categorical Bars</w:t>
      </w:r>
    </w:p>
    <w:p w14:paraId="2CFAF452"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Under </w:t>
      </w:r>
      <w:r w:rsidRPr="000D3FE3">
        <w:rPr>
          <w:rFonts w:ascii="Times New Roman" w:eastAsia="Times New Roman" w:hAnsi="Times New Roman" w:cs="Times New Roman"/>
          <w:i/>
          <w:iCs/>
          <w:color w:val="000000"/>
          <w:kern w:val="0"/>
          <w14:ligatures w14:val="none"/>
        </w:rPr>
        <w:t>Crier v. Whitecloud</w:t>
      </w:r>
      <w:r w:rsidRPr="000D3FE3">
        <w:rPr>
          <w:rFonts w:ascii="Times New Roman" w:eastAsia="Times New Roman" w:hAnsi="Times New Roman" w:cs="Times New Roman"/>
          <w:color w:val="000000"/>
          <w:kern w:val="0"/>
          <w14:ligatures w14:val="none"/>
        </w:rPr>
        <w:t> and related cases, the Legislature may regulate or limit damages prospectively, particularly where a rational public purpose is served. However, those cases often involve </w:t>
      </w:r>
      <w:r w:rsidRPr="000D3FE3">
        <w:rPr>
          <w:rFonts w:ascii="Times New Roman" w:eastAsia="Times New Roman" w:hAnsi="Times New Roman" w:cs="Times New Roman"/>
          <w:b/>
          <w:bCs/>
          <w:color w:val="000000"/>
          <w:kern w:val="0"/>
          <w14:ligatures w14:val="none"/>
        </w:rPr>
        <w:t>caps</w:t>
      </w:r>
      <w:r w:rsidRPr="000D3FE3">
        <w:rPr>
          <w:rFonts w:ascii="Times New Roman" w:eastAsia="Times New Roman" w:hAnsi="Times New Roman" w:cs="Times New Roman"/>
          <w:color w:val="000000"/>
          <w:kern w:val="0"/>
          <w14:ligatures w14:val="none"/>
        </w:rPr>
        <w:t> or </w:t>
      </w:r>
      <w:r w:rsidRPr="000D3FE3">
        <w:rPr>
          <w:rFonts w:ascii="Times New Roman" w:eastAsia="Times New Roman" w:hAnsi="Times New Roman" w:cs="Times New Roman"/>
          <w:b/>
          <w:bCs/>
          <w:color w:val="000000"/>
          <w:kern w:val="0"/>
          <w14:ligatures w14:val="none"/>
        </w:rPr>
        <w:t>procedural trade-offs</w:t>
      </w:r>
      <w:r w:rsidRPr="000D3FE3">
        <w:rPr>
          <w:rFonts w:ascii="Times New Roman" w:eastAsia="Times New Roman" w:hAnsi="Times New Roman" w:cs="Times New Roman"/>
          <w:color w:val="000000"/>
          <w:kern w:val="0"/>
          <w14:ligatures w14:val="none"/>
        </w:rPr>
        <w:t>, not categorical eliminations of core damage elements.</w:t>
      </w:r>
    </w:p>
    <w:p w14:paraId="327BBC8B"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Article 2315.12 does not merely limit recovery; it eliminates entire categories of damages for a defined class of plaintiffs, without providing any substitute benefit or alternative remedial mechanism.</w:t>
      </w:r>
    </w:p>
    <w:p w14:paraId="4FFCDBCD" w14:textId="77777777" w:rsidR="000D3FE3" w:rsidRPr="000D3FE3" w:rsidRDefault="000D3FE3" w:rsidP="000D3FE3">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0D3FE3">
        <w:rPr>
          <w:rFonts w:ascii="Times New Roman" w:eastAsia="Times New Roman" w:hAnsi="Times New Roman" w:cs="Times New Roman"/>
          <w:b/>
          <w:bCs/>
          <w:color w:val="000000"/>
          <w:kern w:val="0"/>
          <w:sz w:val="27"/>
          <w:szCs w:val="27"/>
          <w14:ligatures w14:val="none"/>
        </w:rPr>
        <w:t>B. Distinguishing No-Pay-No-Play</w:t>
      </w:r>
    </w:p>
    <w:p w14:paraId="32892B9E"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The State will analogize Article 2315.12 to Louisiana’s No-Pay-No-Play statute. That analogy is imperfect. No-Pay-No-Play penalizes driving-related conduct, is curable by compliance, and imposes only a limited threshold reduction. Article 2315.12, by contrast, imposes an uncapped, status-based deprivation unrelated to the conduct causing the injury.</w:t>
      </w:r>
    </w:p>
    <w:p w14:paraId="535B09FD"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For plaintiffs with severe non-economic injuries, the practical effect may be to render litigation economically infeasible, raising serious questions about whether an “adequate remedy” truly remains.</w:t>
      </w:r>
    </w:p>
    <w:p w14:paraId="669B1496" w14:textId="77777777" w:rsidR="000D3FE3" w:rsidRPr="000D3FE3" w:rsidRDefault="007A33A4" w:rsidP="000D3FE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438ADA57">
          <v:rect id="_x0000_i1030" alt="" style="width:468pt;height:.05pt;mso-width-percent:0;mso-height-percent:0;mso-width-percent:0;mso-height-percent:0" o:hralign="center" o:hrstd="t" o:hr="t" fillcolor="#a0a0a0" stroked="f"/>
        </w:pict>
      </w:r>
    </w:p>
    <w:p w14:paraId="6671AAFD" w14:textId="77777777" w:rsidR="000D3FE3" w:rsidRPr="000D3FE3" w:rsidRDefault="000D3FE3" w:rsidP="000D3FE3">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0D3FE3">
        <w:rPr>
          <w:rFonts w:ascii="Times New Roman" w:eastAsia="Times New Roman" w:hAnsi="Times New Roman" w:cs="Times New Roman"/>
          <w:b/>
          <w:bCs/>
          <w:color w:val="000000"/>
          <w:kern w:val="0"/>
          <w:sz w:val="36"/>
          <w:szCs w:val="36"/>
          <w14:ligatures w14:val="none"/>
        </w:rPr>
        <w:t>VI. Economic Protectionism and Fifth Circuit Doctrine</w:t>
      </w:r>
    </w:p>
    <w:p w14:paraId="31B9865A"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Under </w:t>
      </w:r>
      <w:r w:rsidRPr="000D3FE3">
        <w:rPr>
          <w:rFonts w:ascii="Times New Roman" w:eastAsia="Times New Roman" w:hAnsi="Times New Roman" w:cs="Times New Roman"/>
          <w:i/>
          <w:iCs/>
          <w:color w:val="000000"/>
          <w:kern w:val="0"/>
          <w14:ligatures w14:val="none"/>
        </w:rPr>
        <w:t>St. Joseph Abbey v. Castille</w:t>
      </w:r>
      <w:r w:rsidRPr="000D3FE3">
        <w:rPr>
          <w:rFonts w:ascii="Times New Roman" w:eastAsia="Times New Roman" w:hAnsi="Times New Roman" w:cs="Times New Roman"/>
          <w:color w:val="000000"/>
          <w:kern w:val="0"/>
          <w14:ligatures w14:val="none"/>
        </w:rPr>
        <w:t>, naked economic protectionism is </w:t>
      </w:r>
      <w:r w:rsidRPr="000D3FE3">
        <w:rPr>
          <w:rFonts w:ascii="Times New Roman" w:eastAsia="Times New Roman" w:hAnsi="Times New Roman" w:cs="Times New Roman"/>
          <w:b/>
          <w:bCs/>
          <w:color w:val="000000"/>
          <w:kern w:val="0"/>
          <w14:ligatures w14:val="none"/>
        </w:rPr>
        <w:t>not</w:t>
      </w:r>
      <w:r w:rsidRPr="000D3FE3">
        <w:rPr>
          <w:rFonts w:ascii="Times New Roman" w:eastAsia="Times New Roman" w:hAnsi="Times New Roman" w:cs="Times New Roman"/>
          <w:color w:val="000000"/>
          <w:kern w:val="0"/>
          <w14:ligatures w14:val="none"/>
        </w:rPr>
        <w:t> a legitimate governmental interest in the Fifth Circuit. If the statute’s real function is insulating insurers from liability—rather than promoting safety or compliance—it is constitutionally suspect even under rational</w:t>
      </w:r>
      <w:r w:rsidRPr="000D3FE3">
        <w:rPr>
          <w:rFonts w:ascii="Times New Roman" w:eastAsia="Times New Roman" w:hAnsi="Times New Roman" w:cs="Times New Roman"/>
          <w:color w:val="000000"/>
          <w:kern w:val="0"/>
          <w14:ligatures w14:val="none"/>
        </w:rPr>
        <w:noBreakHyphen/>
        <w:t>basis review.</w:t>
      </w:r>
    </w:p>
    <w:p w14:paraId="3563E763"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The UM/UIM exception is powerful evidence of this impermissible purpose.</w:t>
      </w:r>
    </w:p>
    <w:p w14:paraId="54B09FC0" w14:textId="77777777" w:rsidR="000D3FE3" w:rsidRPr="000D3FE3" w:rsidRDefault="007A33A4" w:rsidP="000D3FE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40E71871">
          <v:rect id="_x0000_i1031" alt="" style="width:468pt;height:.05pt;mso-width-percent:0;mso-height-percent:0;mso-width-percent:0;mso-height-percent:0" o:hralign="center" o:hrstd="t" o:hr="t" fillcolor="#a0a0a0" stroked="f"/>
        </w:pict>
      </w:r>
    </w:p>
    <w:p w14:paraId="16ED59FA" w14:textId="77777777" w:rsidR="000D3FE3" w:rsidRPr="000D3FE3" w:rsidRDefault="000D3FE3" w:rsidP="000D3FE3">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0D3FE3">
        <w:rPr>
          <w:rFonts w:ascii="Times New Roman" w:eastAsia="Times New Roman" w:hAnsi="Times New Roman" w:cs="Times New Roman"/>
          <w:b/>
          <w:bCs/>
          <w:color w:val="000000"/>
          <w:kern w:val="0"/>
          <w:sz w:val="36"/>
          <w:szCs w:val="36"/>
          <w14:ligatures w14:val="none"/>
        </w:rPr>
        <w:t>VII. Practical Litigation Consequences</w:t>
      </w:r>
    </w:p>
    <w:p w14:paraId="2AA17B67"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Judges and practitioners should expect:</w:t>
      </w:r>
    </w:p>
    <w:p w14:paraId="1007DF02" w14:textId="77777777" w:rsidR="000D3FE3" w:rsidRPr="000D3FE3" w:rsidRDefault="000D3FE3" w:rsidP="000D3FE3">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Early motions to bifurcate on immigration status and damages categories;</w:t>
      </w:r>
    </w:p>
    <w:p w14:paraId="1903193C" w14:textId="77777777" w:rsidR="000D3FE3" w:rsidRPr="000D3FE3" w:rsidRDefault="000D3FE3" w:rsidP="000D3FE3">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Discovery disputes implicating Fifth Amendment privileges and protective orders;</w:t>
      </w:r>
    </w:p>
    <w:p w14:paraId="26EBCD8B" w14:textId="77777777" w:rsidR="000D3FE3" w:rsidRPr="000D3FE3" w:rsidRDefault="000D3FE3" w:rsidP="000D3FE3">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Inconsistent trial</w:t>
      </w:r>
      <w:r w:rsidRPr="000D3FE3">
        <w:rPr>
          <w:rFonts w:ascii="Times New Roman" w:eastAsia="Times New Roman" w:hAnsi="Times New Roman" w:cs="Times New Roman"/>
          <w:color w:val="000000"/>
          <w:kern w:val="0"/>
          <w14:ligatures w14:val="none"/>
        </w:rPr>
        <w:noBreakHyphen/>
        <w:t>court rulings on federal immigration concepts;</w:t>
      </w:r>
    </w:p>
    <w:p w14:paraId="3F39108F" w14:textId="77777777" w:rsidR="000D3FE3" w:rsidRPr="000D3FE3" w:rsidRDefault="000D3FE3" w:rsidP="000D3FE3">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lastRenderedPageBreak/>
        <w:t>Chilling effects on access to courts for injured plaintiffs;</w:t>
      </w:r>
    </w:p>
    <w:p w14:paraId="0B3D073C" w14:textId="77777777" w:rsidR="000D3FE3" w:rsidRPr="000D3FE3" w:rsidRDefault="000D3FE3" w:rsidP="000D3FE3">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Increased interlocutory and supervisory appellate litigation.</w:t>
      </w:r>
    </w:p>
    <w:p w14:paraId="3F4B2EA3" w14:textId="77777777" w:rsidR="000D3FE3" w:rsidRPr="000D3FE3" w:rsidRDefault="007A33A4" w:rsidP="000D3FE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5B281902">
          <v:rect id="_x0000_i1032" alt="" style="width:468pt;height:.05pt;mso-width-percent:0;mso-height-percent:0;mso-width-percent:0;mso-height-percent:0" o:hralign="center" o:hrstd="t" o:hr="t" fillcolor="#a0a0a0" stroked="f"/>
        </w:pict>
      </w:r>
    </w:p>
    <w:p w14:paraId="4248F2A4" w14:textId="77777777" w:rsidR="000D3FE3" w:rsidRPr="000D3FE3" w:rsidRDefault="000D3FE3" w:rsidP="000D3FE3">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0D3FE3">
        <w:rPr>
          <w:rFonts w:ascii="Times New Roman" w:eastAsia="Times New Roman" w:hAnsi="Times New Roman" w:cs="Times New Roman"/>
          <w:b/>
          <w:bCs/>
          <w:color w:val="000000"/>
          <w:kern w:val="0"/>
          <w:sz w:val="36"/>
          <w:szCs w:val="36"/>
          <w14:ligatures w14:val="none"/>
        </w:rPr>
        <w:t>VIII. Severability and Judicial Narrowing</w:t>
      </w:r>
    </w:p>
    <w:p w14:paraId="039145BD"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If a court concludes that one portion of Article 2315.12 is unconstitutional—most plausibly the categorical ban on general damages—it may nevertheless preserve other components through severability or narrowing construction. From a practical standpoint, severability will drive early motion practice, pleading strategy, and whether trial courts attempt to save the statute by limiting its reach rather than invalidating it in full.</w:t>
      </w:r>
    </w:p>
    <w:p w14:paraId="772D1410" w14:textId="77777777" w:rsidR="000D3FE3" w:rsidRPr="000D3FE3" w:rsidRDefault="007A33A4" w:rsidP="000D3FE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37023566">
          <v:rect id="_x0000_i1033" alt="" style="width:468pt;height:.05pt;mso-width-percent:0;mso-height-percent:0;mso-width-percent:0;mso-height-percent:0" o:hralign="center" o:hrstd="t" o:hr="t" fillcolor="#a0a0a0" stroked="f"/>
        </w:pict>
      </w:r>
    </w:p>
    <w:p w14:paraId="176790B1" w14:textId="77777777" w:rsidR="000D3FE3" w:rsidRPr="000D3FE3" w:rsidRDefault="000D3FE3" w:rsidP="000D3FE3">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0D3FE3">
        <w:rPr>
          <w:rFonts w:ascii="Times New Roman" w:eastAsia="Times New Roman" w:hAnsi="Times New Roman" w:cs="Times New Roman"/>
          <w:b/>
          <w:bCs/>
          <w:color w:val="000000"/>
          <w:kern w:val="0"/>
          <w:sz w:val="36"/>
          <w:szCs w:val="36"/>
          <w14:ligatures w14:val="none"/>
        </w:rPr>
        <w:t>VIII. Bottom</w:t>
      </w:r>
      <w:r w:rsidRPr="000D3FE3">
        <w:rPr>
          <w:rFonts w:ascii="Times New Roman" w:eastAsia="Times New Roman" w:hAnsi="Times New Roman" w:cs="Times New Roman"/>
          <w:b/>
          <w:bCs/>
          <w:color w:val="000000"/>
          <w:kern w:val="0"/>
          <w:sz w:val="36"/>
          <w:szCs w:val="36"/>
          <w14:ligatures w14:val="none"/>
        </w:rPr>
        <w:noBreakHyphen/>
        <w:t>Line Assessment for the Bench and Bar</w:t>
      </w:r>
    </w:p>
    <w:p w14:paraId="7B2698E9"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Article 2315.12 is </w:t>
      </w:r>
      <w:r w:rsidRPr="000D3FE3">
        <w:rPr>
          <w:rFonts w:ascii="Times New Roman" w:eastAsia="Times New Roman" w:hAnsi="Times New Roman" w:cs="Times New Roman"/>
          <w:b/>
          <w:bCs/>
          <w:color w:val="000000"/>
          <w:kern w:val="0"/>
          <w14:ligatures w14:val="none"/>
        </w:rPr>
        <w:t>not merely tort reform</w:t>
      </w:r>
      <w:r w:rsidRPr="000D3FE3">
        <w:rPr>
          <w:rFonts w:ascii="Times New Roman" w:eastAsia="Times New Roman" w:hAnsi="Times New Roman" w:cs="Times New Roman"/>
          <w:color w:val="000000"/>
          <w:kern w:val="0"/>
          <w14:ligatures w14:val="none"/>
        </w:rPr>
        <w:t>. It is a status</w:t>
      </w:r>
      <w:r w:rsidRPr="000D3FE3">
        <w:rPr>
          <w:rFonts w:ascii="Times New Roman" w:eastAsia="Times New Roman" w:hAnsi="Times New Roman" w:cs="Times New Roman"/>
          <w:color w:val="000000"/>
          <w:kern w:val="0"/>
          <w14:ligatures w14:val="none"/>
        </w:rPr>
        <w:noBreakHyphen/>
        <w:t>based redefinition of who is entitled to full civil</w:t>
      </w:r>
      <w:r w:rsidRPr="000D3FE3">
        <w:rPr>
          <w:rFonts w:ascii="Times New Roman" w:eastAsia="Times New Roman" w:hAnsi="Times New Roman" w:cs="Times New Roman"/>
          <w:color w:val="000000"/>
          <w:kern w:val="0"/>
          <w14:ligatures w14:val="none"/>
        </w:rPr>
        <w:noBreakHyphen/>
        <w:t>law protection in Louisiana courts.</w:t>
      </w:r>
    </w:p>
    <w:p w14:paraId="12C50ED8"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While the statute may withstand an initial federal Equal Protection challenge, it faces substantial risk under:</w:t>
      </w:r>
    </w:p>
    <w:p w14:paraId="2CD73309" w14:textId="77777777" w:rsidR="000D3FE3" w:rsidRPr="000D3FE3" w:rsidRDefault="000D3FE3" w:rsidP="000D3FE3">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Louisiana’s Open Courts clause;</w:t>
      </w:r>
    </w:p>
    <w:p w14:paraId="56CDAD72" w14:textId="77777777" w:rsidR="000D3FE3" w:rsidRPr="000D3FE3" w:rsidRDefault="000D3FE3" w:rsidP="000D3FE3">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 xml:space="preserve">Louisiana’s Individual Dignity </w:t>
      </w:r>
      <w:proofErr w:type="gramStart"/>
      <w:r w:rsidRPr="000D3FE3">
        <w:rPr>
          <w:rFonts w:ascii="Times New Roman" w:eastAsia="Times New Roman" w:hAnsi="Times New Roman" w:cs="Times New Roman"/>
          <w:color w:val="000000"/>
          <w:kern w:val="0"/>
          <w14:ligatures w14:val="none"/>
        </w:rPr>
        <w:t>protections</w:t>
      </w:r>
      <w:proofErr w:type="gramEnd"/>
      <w:r w:rsidRPr="000D3FE3">
        <w:rPr>
          <w:rFonts w:ascii="Times New Roman" w:eastAsia="Times New Roman" w:hAnsi="Times New Roman" w:cs="Times New Roman"/>
          <w:color w:val="000000"/>
          <w:kern w:val="0"/>
          <w14:ligatures w14:val="none"/>
        </w:rPr>
        <w:t>;</w:t>
      </w:r>
    </w:p>
    <w:p w14:paraId="2B83CBB4" w14:textId="77777777" w:rsidR="000D3FE3" w:rsidRPr="000D3FE3" w:rsidRDefault="000D3FE3" w:rsidP="000D3FE3">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Fifth Circuit prohibitions on economic protectionism;</w:t>
      </w:r>
    </w:p>
    <w:p w14:paraId="7A2A7155" w14:textId="77777777" w:rsidR="000D3FE3" w:rsidRPr="000D3FE3" w:rsidRDefault="000D3FE3" w:rsidP="000D3FE3">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Internal irrationality created by the insurance exception.</w:t>
      </w:r>
    </w:p>
    <w:p w14:paraId="494ACBE1" w14:textId="77777777" w:rsidR="000D3FE3" w:rsidRPr="000D3FE3" w:rsidRDefault="000D3FE3" w:rsidP="000D3FE3">
      <w:pPr>
        <w:spacing w:before="100" w:beforeAutospacing="1" w:after="100" w:afterAutospacing="1" w:line="240" w:lineRule="auto"/>
        <w:rPr>
          <w:rFonts w:ascii="Times New Roman" w:eastAsia="Times New Roman" w:hAnsi="Times New Roman" w:cs="Times New Roman"/>
          <w:color w:val="000000"/>
          <w:kern w:val="0"/>
          <w14:ligatures w14:val="none"/>
        </w:rPr>
      </w:pPr>
      <w:r w:rsidRPr="000D3FE3">
        <w:rPr>
          <w:rFonts w:ascii="Times New Roman" w:eastAsia="Times New Roman" w:hAnsi="Times New Roman" w:cs="Times New Roman"/>
          <w:color w:val="000000"/>
          <w:kern w:val="0"/>
          <w14:ligatures w14:val="none"/>
        </w:rPr>
        <w:t>Whether upheld or struck down, Article 2315.12 will force Louisiana courts to confront the outer limits of legislative power over remedies—and the meaning of the constitutional promise that </w:t>
      </w:r>
      <w:r w:rsidRPr="000D3FE3">
        <w:rPr>
          <w:rFonts w:ascii="Times New Roman" w:eastAsia="Times New Roman" w:hAnsi="Times New Roman" w:cs="Times New Roman"/>
          <w:i/>
          <w:iCs/>
          <w:color w:val="000000"/>
          <w:kern w:val="0"/>
          <w14:ligatures w14:val="none"/>
        </w:rPr>
        <w:t>“every person shall have an adequate remedy by due process of law.”</w:t>
      </w:r>
    </w:p>
    <w:p w14:paraId="557C5645" w14:textId="77777777" w:rsidR="005E5B80" w:rsidRDefault="005E5B80"/>
    <w:sectPr w:rsidR="005E5B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4FC4"/>
    <w:multiLevelType w:val="multilevel"/>
    <w:tmpl w:val="A49A2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B1B40"/>
    <w:multiLevelType w:val="multilevel"/>
    <w:tmpl w:val="324CD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F37ECD"/>
    <w:multiLevelType w:val="multilevel"/>
    <w:tmpl w:val="C4F2E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291205"/>
    <w:multiLevelType w:val="multilevel"/>
    <w:tmpl w:val="FDAA2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CF4920"/>
    <w:multiLevelType w:val="multilevel"/>
    <w:tmpl w:val="14926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86050F"/>
    <w:multiLevelType w:val="multilevel"/>
    <w:tmpl w:val="8B222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411D74"/>
    <w:multiLevelType w:val="multilevel"/>
    <w:tmpl w:val="53A66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1796654">
    <w:abstractNumId w:val="6"/>
  </w:num>
  <w:num w:numId="2" w16cid:durableId="863518688">
    <w:abstractNumId w:val="4"/>
  </w:num>
  <w:num w:numId="3" w16cid:durableId="679746938">
    <w:abstractNumId w:val="5"/>
  </w:num>
  <w:num w:numId="4" w16cid:durableId="73598873">
    <w:abstractNumId w:val="1"/>
  </w:num>
  <w:num w:numId="5" w16cid:durableId="194970470">
    <w:abstractNumId w:val="3"/>
  </w:num>
  <w:num w:numId="6" w16cid:durableId="211816062">
    <w:abstractNumId w:val="0"/>
  </w:num>
  <w:num w:numId="7" w16cid:durableId="17158904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FE3"/>
    <w:rsid w:val="000D3FE3"/>
    <w:rsid w:val="000E3177"/>
    <w:rsid w:val="00456277"/>
    <w:rsid w:val="00546930"/>
    <w:rsid w:val="005E5B80"/>
    <w:rsid w:val="007A33A4"/>
    <w:rsid w:val="0084201E"/>
    <w:rsid w:val="009D4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2590C810"/>
  <w15:chartTrackingRefBased/>
  <w15:docId w15:val="{A63D1AB5-8697-C74F-86C9-A280264E9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F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D3F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D3F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D3F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F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F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F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F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F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F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D3F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D3F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D3F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F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F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F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F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FE3"/>
    <w:rPr>
      <w:rFonts w:eastAsiaTheme="majorEastAsia" w:cstheme="majorBidi"/>
      <w:color w:val="272727" w:themeColor="text1" w:themeTint="D8"/>
    </w:rPr>
  </w:style>
  <w:style w:type="paragraph" w:styleId="Title">
    <w:name w:val="Title"/>
    <w:basedOn w:val="Normal"/>
    <w:next w:val="Normal"/>
    <w:link w:val="TitleChar"/>
    <w:uiPriority w:val="10"/>
    <w:qFormat/>
    <w:rsid w:val="000D3F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F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F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F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FE3"/>
    <w:pPr>
      <w:spacing w:before="160"/>
      <w:jc w:val="center"/>
    </w:pPr>
    <w:rPr>
      <w:i/>
      <w:iCs/>
      <w:color w:val="404040" w:themeColor="text1" w:themeTint="BF"/>
    </w:rPr>
  </w:style>
  <w:style w:type="character" w:customStyle="1" w:styleId="QuoteChar">
    <w:name w:val="Quote Char"/>
    <w:basedOn w:val="DefaultParagraphFont"/>
    <w:link w:val="Quote"/>
    <w:uiPriority w:val="29"/>
    <w:rsid w:val="000D3FE3"/>
    <w:rPr>
      <w:i/>
      <w:iCs/>
      <w:color w:val="404040" w:themeColor="text1" w:themeTint="BF"/>
    </w:rPr>
  </w:style>
  <w:style w:type="paragraph" w:styleId="ListParagraph">
    <w:name w:val="List Paragraph"/>
    <w:basedOn w:val="Normal"/>
    <w:uiPriority w:val="34"/>
    <w:qFormat/>
    <w:rsid w:val="000D3FE3"/>
    <w:pPr>
      <w:ind w:left="720"/>
      <w:contextualSpacing/>
    </w:pPr>
  </w:style>
  <w:style w:type="character" w:styleId="IntenseEmphasis">
    <w:name w:val="Intense Emphasis"/>
    <w:basedOn w:val="DefaultParagraphFont"/>
    <w:uiPriority w:val="21"/>
    <w:qFormat/>
    <w:rsid w:val="000D3FE3"/>
    <w:rPr>
      <w:i/>
      <w:iCs/>
      <w:color w:val="0F4761" w:themeColor="accent1" w:themeShade="BF"/>
    </w:rPr>
  </w:style>
  <w:style w:type="paragraph" w:styleId="IntenseQuote">
    <w:name w:val="Intense Quote"/>
    <w:basedOn w:val="Normal"/>
    <w:next w:val="Normal"/>
    <w:link w:val="IntenseQuoteChar"/>
    <w:uiPriority w:val="30"/>
    <w:qFormat/>
    <w:rsid w:val="000D3F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FE3"/>
    <w:rPr>
      <w:i/>
      <w:iCs/>
      <w:color w:val="0F4761" w:themeColor="accent1" w:themeShade="BF"/>
    </w:rPr>
  </w:style>
  <w:style w:type="character" w:styleId="IntenseReference">
    <w:name w:val="Intense Reference"/>
    <w:basedOn w:val="DefaultParagraphFont"/>
    <w:uiPriority w:val="32"/>
    <w:qFormat/>
    <w:rsid w:val="000D3FE3"/>
    <w:rPr>
      <w:b/>
      <w:bCs/>
      <w:smallCaps/>
      <w:color w:val="0F4761" w:themeColor="accent1" w:themeShade="BF"/>
      <w:spacing w:val="5"/>
    </w:rPr>
  </w:style>
  <w:style w:type="paragraph" w:styleId="NormalWeb">
    <w:name w:val="Normal (Web)"/>
    <w:basedOn w:val="Normal"/>
    <w:uiPriority w:val="99"/>
    <w:semiHidden/>
    <w:unhideWhenUsed/>
    <w:rsid w:val="000D3FE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D3FE3"/>
    <w:rPr>
      <w:b/>
      <w:bCs/>
    </w:rPr>
  </w:style>
  <w:style w:type="character" w:customStyle="1" w:styleId="apple-converted-space">
    <w:name w:val="apple-converted-space"/>
    <w:basedOn w:val="DefaultParagraphFont"/>
    <w:rsid w:val="000D3FE3"/>
  </w:style>
  <w:style w:type="character" w:styleId="Emphasis">
    <w:name w:val="Emphasis"/>
    <w:basedOn w:val="DefaultParagraphFont"/>
    <w:uiPriority w:val="20"/>
    <w:qFormat/>
    <w:rsid w:val="000D3F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3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1847</Words>
  <Characters>9847</Characters>
  <Application>Microsoft Office Word</Application>
  <DocSecurity>0</DocSecurity>
  <Lines>189</Lines>
  <Paragraphs>42</Paragraphs>
  <ScaleCrop>false</ScaleCrop>
  <Company/>
  <LinksUpToDate>false</LinksUpToDate>
  <CharactersWithSpaces>11652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Mau</dc:creator>
  <cp:keywords/>
  <dc:description/>
  <cp:lastModifiedBy>Betty Maury</cp:lastModifiedBy>
  <cp:revision>2</cp:revision>
  <dcterms:created xsi:type="dcterms:W3CDTF">2026-02-23T15:03:00Z</dcterms:created>
  <dcterms:modified xsi:type="dcterms:W3CDTF">2026-02-23T15:03:00Z</dcterms:modified>
</cp:coreProperties>
</file>